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97" w:rsidRDefault="00312A97" w:rsidP="000A089C">
      <w:pPr>
        <w:jc w:val="center"/>
        <w:rPr>
          <w:rFonts w:ascii="Bell MT" w:eastAsia="Calibri" w:hAnsi="Bell MT"/>
          <w:b/>
          <w:bCs/>
        </w:rPr>
      </w:pPr>
    </w:p>
    <w:p w:rsidR="000A089C" w:rsidRPr="00DD773B" w:rsidRDefault="000A089C" w:rsidP="000A089C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 w:rsidRPr="00DD773B"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F5300D" w:rsidRDefault="00F5300D" w:rsidP="00DD773B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</w:rPr>
      </w:pPr>
    </w:p>
    <w:p w:rsidR="00F5300D" w:rsidRPr="00E13D96" w:rsidRDefault="00EA2F85" w:rsidP="006F7DF2">
      <w:pPr>
        <w:spacing w:after="160" w:line="360" w:lineRule="auto"/>
        <w:jc w:val="center"/>
        <w:rPr>
          <w:b/>
          <w:color w:val="auto"/>
          <w:lang w:val="en-US" w:eastAsia="en-US"/>
        </w:rPr>
      </w:pPr>
      <w:r w:rsidRPr="00E13D96">
        <w:rPr>
          <w:b/>
          <w:color w:val="auto"/>
          <w:lang w:val="en-US" w:eastAsia="en-US"/>
        </w:rPr>
        <w:t>Workshop</w:t>
      </w:r>
      <w:r w:rsidR="006F7DF2" w:rsidRPr="00E13D96">
        <w:rPr>
          <w:b/>
          <w:color w:val="auto"/>
          <w:lang w:val="en-US" w:eastAsia="en-US"/>
        </w:rPr>
        <w:t>: “</w:t>
      </w:r>
      <w:r w:rsidRPr="00E13D96">
        <w:rPr>
          <w:b/>
          <w:color w:val="auto"/>
          <w:lang w:val="en-US" w:eastAsia="en-US"/>
        </w:rPr>
        <w:t>QI GONG</w:t>
      </w:r>
      <w:r w:rsidR="006F7DF2" w:rsidRPr="00E13D96">
        <w:rPr>
          <w:b/>
          <w:color w:val="auto"/>
          <w:lang w:val="en-US" w:eastAsia="en-US"/>
        </w:rPr>
        <w:t>”,</w:t>
      </w:r>
      <w:r w:rsidR="00246DF5" w:rsidRPr="00E13D96">
        <w:rPr>
          <w:b/>
          <w:color w:val="auto"/>
          <w:lang w:val="en-US" w:eastAsia="en-US"/>
        </w:rPr>
        <w:t xml:space="preserve"> com</w:t>
      </w:r>
      <w:r w:rsidR="006F7DF2" w:rsidRPr="00E13D96">
        <w:rPr>
          <w:b/>
          <w:color w:val="auto"/>
          <w:lang w:val="en-US" w:eastAsia="en-US"/>
        </w:rPr>
        <w:t xml:space="preserve"> </w:t>
      </w:r>
      <w:r w:rsidRPr="00E13D96">
        <w:rPr>
          <w:b/>
          <w:color w:val="auto"/>
          <w:lang w:val="en-US" w:eastAsia="en-US"/>
        </w:rPr>
        <w:t>Isabel Just</w:t>
      </w:r>
    </w:p>
    <w:p w:rsidR="004B224E" w:rsidRPr="00E13D96" w:rsidRDefault="004B224E" w:rsidP="000A089C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0070C0"/>
          <w:sz w:val="28"/>
          <w:szCs w:val="28"/>
          <w:lang w:val="en-US" w:eastAsia="en-US"/>
        </w:rPr>
      </w:pPr>
    </w:p>
    <w:p w:rsidR="00472D20" w:rsidRDefault="006F7DF2" w:rsidP="00472D20">
      <w:pPr>
        <w:spacing w:line="360" w:lineRule="auto"/>
        <w:jc w:val="both"/>
      </w:pPr>
      <w:r w:rsidRPr="006F7DF2">
        <w:rPr>
          <w:color w:val="auto"/>
          <w:lang w:eastAsia="en-US"/>
        </w:rPr>
        <w:t>A Biblioteca Pública e Arquivo Regional Luís da Silva Ribeiro tem como missão facilitar o acesso ao conhecimento e à informação de todos os gén</w:t>
      </w:r>
      <w:r w:rsidR="00472D20">
        <w:rPr>
          <w:color w:val="auto"/>
          <w:lang w:eastAsia="en-US"/>
        </w:rPr>
        <w:t xml:space="preserve">eros. </w:t>
      </w:r>
      <w:r w:rsidR="00246DF5">
        <w:rPr>
          <w:b/>
        </w:rPr>
        <w:t>“</w:t>
      </w:r>
      <w:proofErr w:type="spellStart"/>
      <w:r w:rsidR="004A6392" w:rsidRPr="00246DF5">
        <w:rPr>
          <w:b/>
        </w:rPr>
        <w:t>Qi</w:t>
      </w:r>
      <w:proofErr w:type="spellEnd"/>
      <w:r w:rsidR="004A6392" w:rsidRPr="00246DF5">
        <w:rPr>
          <w:b/>
        </w:rPr>
        <w:t xml:space="preserve"> Gong</w:t>
      </w:r>
      <w:r w:rsidR="00246DF5">
        <w:rPr>
          <w:b/>
        </w:rPr>
        <w:t>”</w:t>
      </w:r>
      <w:r w:rsidR="00EA2F85" w:rsidRPr="00F402D4">
        <w:t xml:space="preserve"> é um componente da medicina chinesa de prevenção e for</w:t>
      </w:r>
      <w:r w:rsidR="00472D20">
        <w:t>tale</w:t>
      </w:r>
      <w:r w:rsidR="00EA2F85" w:rsidRPr="00F402D4">
        <w:t>cimento da long</w:t>
      </w:r>
      <w:r w:rsidR="00EA2F85">
        <w:t xml:space="preserve">evidade. Trata-se de um exercício corporal </w:t>
      </w:r>
      <w:r w:rsidR="00EA2F85" w:rsidRPr="00F402D4">
        <w:t>e mental</w:t>
      </w:r>
      <w:r w:rsidR="004A6392">
        <w:t xml:space="preserve"> que c</w:t>
      </w:r>
      <w:r w:rsidR="00EA2F85" w:rsidRPr="00F402D4">
        <w:t>ombina o movimento</w:t>
      </w:r>
      <w:r w:rsidR="00EA2F85">
        <w:t>,</w:t>
      </w:r>
      <w:r w:rsidR="00EA2F85" w:rsidRPr="00F402D4">
        <w:t xml:space="preserve"> a meditação e </w:t>
      </w:r>
      <w:r w:rsidR="00EA2F85">
        <w:t xml:space="preserve">a </w:t>
      </w:r>
      <w:r w:rsidR="00EA2F85" w:rsidRPr="00F402D4">
        <w:t>regulação da respiração.</w:t>
      </w:r>
      <w:r w:rsidR="00472D20">
        <w:t xml:space="preserve"> </w:t>
      </w:r>
    </w:p>
    <w:p w:rsidR="00246DF5" w:rsidRPr="00472D20" w:rsidRDefault="00472D20" w:rsidP="00472D20">
      <w:pPr>
        <w:spacing w:line="360" w:lineRule="auto"/>
        <w:jc w:val="both"/>
        <w:rPr>
          <w:color w:val="auto"/>
          <w:lang w:eastAsia="en-US"/>
        </w:rPr>
      </w:pPr>
      <w:r>
        <w:t xml:space="preserve">A formadora </w:t>
      </w:r>
      <w:proofErr w:type="spellStart"/>
      <w:r>
        <w:rPr>
          <w:rFonts w:eastAsia="Times New Roman"/>
        </w:rPr>
        <w:t>é</w:t>
      </w:r>
      <w:proofErr w:type="spellEnd"/>
      <w:r>
        <w:rPr>
          <w:rFonts w:eastAsia="Times New Roman"/>
        </w:rPr>
        <w:t xml:space="preserve"> i</w:t>
      </w:r>
      <w:r w:rsidRPr="002E09BC">
        <w:rPr>
          <w:rFonts w:eastAsia="Times New Roman"/>
        </w:rPr>
        <w:t xml:space="preserve">nstrutora de Tai Chi Chuan e </w:t>
      </w:r>
      <w:proofErr w:type="spellStart"/>
      <w:r w:rsidRPr="002E09BC">
        <w:rPr>
          <w:rFonts w:eastAsia="Times New Roman"/>
        </w:rPr>
        <w:t>Qi</w:t>
      </w:r>
      <w:proofErr w:type="spellEnd"/>
      <w:r w:rsidRPr="002E09BC">
        <w:rPr>
          <w:rFonts w:eastAsia="Times New Roman"/>
        </w:rPr>
        <w:t xml:space="preserve"> Gong</w:t>
      </w:r>
      <w:r>
        <w:rPr>
          <w:rFonts w:eastAsia="Times New Roman"/>
        </w:rPr>
        <w:t xml:space="preserve">, terapeuta de massagem japonesa </w:t>
      </w:r>
      <w:r w:rsidRPr="002E09BC">
        <w:rPr>
          <w:rFonts w:eastAsia="Times New Roman"/>
        </w:rPr>
        <w:t>Shiatsu</w:t>
      </w:r>
      <w:r>
        <w:rPr>
          <w:rFonts w:eastAsia="Times New Roman"/>
        </w:rPr>
        <w:t xml:space="preserve"> e te</w:t>
      </w:r>
      <w:r w:rsidRPr="002E09BC">
        <w:rPr>
          <w:rFonts w:eastAsia="Times New Roman"/>
        </w:rPr>
        <w:t xml:space="preserve">rapeuta integrativa </w:t>
      </w:r>
      <w:proofErr w:type="spellStart"/>
      <w:r w:rsidRPr="002E09BC">
        <w:rPr>
          <w:rFonts w:eastAsia="Times New Roman"/>
        </w:rPr>
        <w:t>Gestalt</w:t>
      </w:r>
      <w:proofErr w:type="spellEnd"/>
      <w:r>
        <w:rPr>
          <w:rFonts w:eastAsia="Times New Roman"/>
        </w:rPr>
        <w:t>.</w:t>
      </w:r>
    </w:p>
    <w:p w:rsidR="00E13D96" w:rsidRPr="00E13D96" w:rsidRDefault="00E13D96" w:rsidP="00EA2F85">
      <w:pPr>
        <w:spacing w:after="160" w:line="360" w:lineRule="auto"/>
        <w:jc w:val="both"/>
        <w:rPr>
          <w:sz w:val="10"/>
          <w:szCs w:val="10"/>
        </w:rPr>
      </w:pPr>
    </w:p>
    <w:p w:rsidR="00EA2F85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>Data e hora:</w:t>
      </w:r>
      <w:r w:rsidRPr="006F7DF2">
        <w:rPr>
          <w:color w:val="auto"/>
          <w:lang w:eastAsia="en-US"/>
        </w:rPr>
        <w:t xml:space="preserve"> </w:t>
      </w:r>
      <w:r w:rsidR="00EA2F85">
        <w:rPr>
          <w:color w:val="auto"/>
          <w:lang w:eastAsia="en-US"/>
        </w:rPr>
        <w:t>17 de maio – 19:00 às 22:00;</w:t>
      </w:r>
    </w:p>
    <w:p w:rsidR="006F7DF2" w:rsidRPr="006F7DF2" w:rsidRDefault="00597D0C" w:rsidP="00597D0C">
      <w:pPr>
        <w:spacing w:after="160" w:line="360" w:lineRule="auto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         </w:t>
      </w:r>
      <w:r w:rsidR="00EA2F85">
        <w:rPr>
          <w:color w:val="auto"/>
          <w:lang w:eastAsia="en-US"/>
        </w:rPr>
        <w:t>18 de maio – 10</w:t>
      </w:r>
      <w:r w:rsidR="006F7DF2" w:rsidRPr="006F7DF2">
        <w:rPr>
          <w:color w:val="auto"/>
          <w:lang w:eastAsia="en-US"/>
        </w:rPr>
        <w:t>:00 às 1</w:t>
      </w:r>
      <w:r w:rsidR="00EA2F85">
        <w:rPr>
          <w:color w:val="auto"/>
          <w:lang w:eastAsia="en-US"/>
        </w:rPr>
        <w:t>3</w:t>
      </w:r>
      <w:r w:rsidR="006F7DF2" w:rsidRPr="006F7DF2">
        <w:rPr>
          <w:color w:val="auto"/>
          <w:lang w:eastAsia="en-US"/>
        </w:rPr>
        <w:t>:00</w:t>
      </w:r>
      <w:r w:rsidR="00EA2F85">
        <w:rPr>
          <w:color w:val="auto"/>
          <w:lang w:eastAsia="en-US"/>
        </w:rPr>
        <w:t>.</w:t>
      </w:r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>Local:</w:t>
      </w:r>
      <w:r w:rsidRPr="006F7DF2">
        <w:rPr>
          <w:color w:val="auto"/>
          <w:lang w:eastAsia="en-US"/>
        </w:rPr>
        <w:t xml:space="preserve"> Biblioteca Pública e Arquivo Regional Luís da Silva Ribeiro</w:t>
      </w:r>
    </w:p>
    <w:p w:rsidR="006F7DF2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 xml:space="preserve">Público-alvo: </w:t>
      </w:r>
      <w:r w:rsidRPr="006F7DF2">
        <w:rPr>
          <w:color w:val="auto"/>
          <w:lang w:eastAsia="en-US"/>
        </w:rPr>
        <w:t>público em geral</w:t>
      </w:r>
    </w:p>
    <w:p w:rsidR="00E13D96" w:rsidRPr="00482180" w:rsidRDefault="00472D20" w:rsidP="00E13D96">
      <w:pPr>
        <w:autoSpaceDE w:val="0"/>
        <w:autoSpaceDN w:val="0"/>
        <w:adjustRightInd w:val="0"/>
        <w:spacing w:line="360" w:lineRule="auto"/>
        <w:jc w:val="both"/>
        <w:rPr>
          <w:rFonts w:ascii="Bell MT" w:eastAsia="Calibri" w:hAnsi="Bell MT" w:cs="Trebuchet MS"/>
          <w:bCs/>
          <w:sz w:val="28"/>
          <w:szCs w:val="28"/>
          <w:lang w:eastAsia="en-US"/>
        </w:rPr>
      </w:pPr>
      <w:r>
        <w:rPr>
          <w:b/>
          <w:color w:val="auto"/>
          <w:lang w:eastAsia="en-US"/>
        </w:rPr>
        <w:t>Inscrição</w:t>
      </w:r>
      <w:r w:rsidR="006F7DF2" w:rsidRPr="006F7DF2">
        <w:rPr>
          <w:b/>
          <w:color w:val="auto"/>
          <w:lang w:eastAsia="en-US"/>
        </w:rPr>
        <w:t xml:space="preserve"> prévia</w:t>
      </w:r>
      <w:r>
        <w:rPr>
          <w:b/>
          <w:color w:val="auto"/>
          <w:lang w:eastAsia="en-US"/>
        </w:rPr>
        <w:t xml:space="preserve"> </w:t>
      </w:r>
      <w:r w:rsidRPr="000841D3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até dia 15 maio</w:t>
      </w:r>
      <w:r w:rsidR="006F7DF2" w:rsidRPr="006F7DF2">
        <w:rPr>
          <w:b/>
          <w:color w:val="auto"/>
          <w:lang w:eastAsia="en-US"/>
        </w:rPr>
        <w:t xml:space="preserve"> </w:t>
      </w:r>
      <w:r w:rsidR="006F7DF2" w:rsidRPr="006F7DF2">
        <w:rPr>
          <w:color w:val="auto"/>
          <w:lang w:eastAsia="en-US"/>
        </w:rPr>
        <w:t>para</w:t>
      </w:r>
      <w:r w:rsidR="006F7DF2" w:rsidRPr="006F7DF2">
        <w:rPr>
          <w:b/>
          <w:color w:val="auto"/>
          <w:lang w:eastAsia="en-US"/>
        </w:rPr>
        <w:t xml:space="preserve"> </w:t>
      </w:r>
      <w:hyperlink r:id="rId8" w:history="1">
        <w:r w:rsidR="006F7DF2" w:rsidRPr="006F7DF2">
          <w:rPr>
            <w:color w:val="0563C1" w:themeColor="hyperlink"/>
            <w:u w:val="single"/>
            <w:lang w:eastAsia="en-US"/>
          </w:rPr>
          <w:t>Filipe.MM.Alexandre@azores.gov.pt</w:t>
        </w:r>
      </w:hyperlink>
      <w:r w:rsidR="00E13D96">
        <w:rPr>
          <w:color w:val="0563C1" w:themeColor="hyperlink"/>
          <w:u w:val="single"/>
          <w:lang w:eastAsia="en-US"/>
        </w:rPr>
        <w:t xml:space="preserve"> </w:t>
      </w:r>
      <w:r w:rsidR="00E13D96" w:rsidRPr="00482180">
        <w:rPr>
          <w:rFonts w:ascii="Bell MT" w:eastAsia="Calibri" w:hAnsi="Bell MT" w:cs="Trebuchet MS"/>
          <w:bCs/>
          <w:sz w:val="28"/>
          <w:szCs w:val="28"/>
          <w:lang w:eastAsia="en-US"/>
        </w:rPr>
        <w:t>ou presencialmente na Biblioteca</w:t>
      </w:r>
      <w:r w:rsidR="000841D3">
        <w:rPr>
          <w:rFonts w:ascii="Bell MT" w:eastAsia="Calibri" w:hAnsi="Bell MT" w:cs="Trebuchet MS"/>
          <w:bCs/>
          <w:sz w:val="28"/>
          <w:szCs w:val="28"/>
          <w:lang w:eastAsia="en-US"/>
        </w:rPr>
        <w:t xml:space="preserve"> (limite 25 inscrições)</w:t>
      </w:r>
      <w:r w:rsidR="000841D3">
        <w:rPr>
          <w:rFonts w:ascii="Bell MT" w:eastAsia="Calibri" w:hAnsi="Bell MT" w:cs="Trebuchet MS"/>
          <w:b/>
          <w:bCs/>
          <w:sz w:val="28"/>
          <w:szCs w:val="28"/>
          <w:lang w:eastAsia="en-US"/>
        </w:rPr>
        <w:t>.</w:t>
      </w:r>
    </w:p>
    <w:p w:rsidR="00312A97" w:rsidRPr="006F7DF2" w:rsidRDefault="006F7DF2" w:rsidP="006F7DF2">
      <w:pPr>
        <w:spacing w:after="160" w:line="360" w:lineRule="auto"/>
        <w:rPr>
          <w:color w:val="auto"/>
          <w:lang w:eastAsia="en-US"/>
        </w:rPr>
      </w:pPr>
      <w:r w:rsidRPr="006F7DF2">
        <w:rPr>
          <w:b/>
          <w:color w:val="auto"/>
          <w:lang w:eastAsia="en-US"/>
        </w:rPr>
        <w:t xml:space="preserve">Valor da inscrição: </w:t>
      </w:r>
      <w:r w:rsidR="004A6392" w:rsidRPr="00605942">
        <w:rPr>
          <w:color w:val="auto"/>
          <w:sz w:val="26"/>
          <w:szCs w:val="26"/>
          <w:lang w:eastAsia="en-US"/>
        </w:rPr>
        <w:t>15</w:t>
      </w:r>
      <w:r w:rsidRPr="00605942">
        <w:rPr>
          <w:color w:val="auto"/>
          <w:sz w:val="26"/>
          <w:szCs w:val="26"/>
          <w:lang w:eastAsia="en-US"/>
        </w:rPr>
        <w:t xml:space="preserve"> euros</w:t>
      </w:r>
      <w:r w:rsidR="00605942">
        <w:rPr>
          <w:color w:val="auto"/>
          <w:sz w:val="26"/>
          <w:szCs w:val="26"/>
          <w:lang w:eastAsia="en-US"/>
        </w:rPr>
        <w:t>.</w:t>
      </w:r>
    </w:p>
    <w:p w:rsidR="00472D20" w:rsidRDefault="00246DF5" w:rsidP="00472D20">
      <w:pPr>
        <w:jc w:val="both"/>
        <w:rPr>
          <w:rFonts w:eastAsia="Times New Roman"/>
          <w:color w:val="000000" w:themeColor="text1"/>
        </w:rPr>
      </w:pPr>
      <w:r w:rsidRPr="00472D20">
        <w:rPr>
          <w:rFonts w:eastAsia="Calibri"/>
          <w:b/>
          <w:bCs/>
          <w:color w:val="000000" w:themeColor="text1"/>
          <w:lang w:eastAsia="en-US"/>
        </w:rPr>
        <w:t xml:space="preserve">Cada formando deve trazer consigo: </w:t>
      </w:r>
      <w:r w:rsidR="00472D20" w:rsidRPr="00472D20">
        <w:rPr>
          <w:rFonts w:eastAsia="Calibri"/>
          <w:bCs/>
          <w:color w:val="000000" w:themeColor="text1"/>
          <w:lang w:eastAsia="en-US"/>
        </w:rPr>
        <w:t>r</w:t>
      </w:r>
      <w:r w:rsidR="00E13D96" w:rsidRPr="00472D20">
        <w:rPr>
          <w:rFonts w:eastAsia="Times New Roman"/>
          <w:color w:val="000000" w:themeColor="text1"/>
        </w:rPr>
        <w:t>oupa/</w:t>
      </w:r>
      <w:r w:rsidR="00597D0C" w:rsidRPr="00472D20">
        <w:rPr>
          <w:rFonts w:eastAsia="Times New Roman"/>
          <w:color w:val="000000" w:themeColor="text1"/>
        </w:rPr>
        <w:t xml:space="preserve">meias confortáveis, </w:t>
      </w:r>
      <w:r w:rsidR="00E13D96" w:rsidRPr="00472D20">
        <w:rPr>
          <w:rFonts w:eastAsia="Times New Roman"/>
          <w:color w:val="000000" w:themeColor="text1"/>
        </w:rPr>
        <w:t>tapete</w:t>
      </w:r>
      <w:r w:rsidR="00597D0C" w:rsidRPr="00472D20">
        <w:rPr>
          <w:rFonts w:eastAsia="Times New Roman"/>
          <w:color w:val="000000" w:themeColor="text1"/>
        </w:rPr>
        <w:t xml:space="preserve"> e uma pequena almofada.</w:t>
      </w:r>
      <w:r w:rsidR="00472D20">
        <w:rPr>
          <w:rFonts w:eastAsia="Times New Roman"/>
          <w:color w:val="000000" w:themeColor="text1"/>
        </w:rPr>
        <w:t xml:space="preserve"> </w:t>
      </w:r>
    </w:p>
    <w:p w:rsidR="00ED7703" w:rsidRDefault="00472D20" w:rsidP="00472D20">
      <w:pPr>
        <w:jc w:val="both"/>
        <w:rPr>
          <w:rFonts w:eastAsia="Times New Roman"/>
          <w:color w:val="000000" w:themeColor="text1"/>
        </w:rPr>
      </w:pPr>
      <w:r w:rsidRPr="00472D20">
        <w:rPr>
          <w:rFonts w:eastAsia="Times New Roman"/>
          <w:color w:val="000000" w:themeColor="text1"/>
        </w:rPr>
        <w:t xml:space="preserve">Quem quiser tomar notas deve trazer também </w:t>
      </w:r>
      <w:r w:rsidR="00597D0C" w:rsidRPr="00472D20">
        <w:rPr>
          <w:rFonts w:eastAsia="Times New Roman"/>
          <w:color w:val="000000" w:themeColor="text1"/>
        </w:rPr>
        <w:t xml:space="preserve">caderno e esferográfica. </w:t>
      </w:r>
      <w:bookmarkStart w:id="0" w:name="_GoBack"/>
      <w:bookmarkEnd w:id="0"/>
    </w:p>
    <w:p w:rsidR="00472D20" w:rsidRPr="00472D20" w:rsidRDefault="00472D20" w:rsidP="00472D20">
      <w:pPr>
        <w:jc w:val="both"/>
        <w:rPr>
          <w:rFonts w:eastAsia="Times New Roman"/>
          <w:color w:val="000000" w:themeColor="text1"/>
        </w:rPr>
      </w:pPr>
    </w:p>
    <w:p w:rsidR="00597D0C" w:rsidRPr="00597D0C" w:rsidRDefault="00597D0C" w:rsidP="00597D0C">
      <w:pPr>
        <w:rPr>
          <w:rFonts w:eastAsia="Times New Roman"/>
          <w:color w:val="000000" w:themeColor="text1"/>
          <w:sz w:val="10"/>
          <w:szCs w:val="10"/>
        </w:rPr>
      </w:pPr>
    </w:p>
    <w:tbl>
      <w:tblPr>
        <w:tblStyle w:val="Tabelacomgrelha"/>
        <w:tblW w:w="9960" w:type="dxa"/>
        <w:jc w:val="center"/>
        <w:tblLook w:val="04A0" w:firstRow="1" w:lastRow="0" w:firstColumn="1" w:lastColumn="0" w:noHBand="0" w:noVBand="1"/>
      </w:tblPr>
      <w:tblGrid>
        <w:gridCol w:w="9960"/>
      </w:tblGrid>
      <w:tr w:rsidR="000A089C" w:rsidRPr="000A089C" w:rsidTr="00312A97">
        <w:trPr>
          <w:trHeight w:val="3232"/>
          <w:jc w:val="center"/>
        </w:trPr>
        <w:tc>
          <w:tcPr>
            <w:tcW w:w="9960" w:type="dxa"/>
          </w:tcPr>
          <w:p w:rsidR="000A089C" w:rsidRPr="000A089C" w:rsidRDefault="000A089C" w:rsidP="000A089C">
            <w:pPr>
              <w:rPr>
                <w:rFonts w:ascii="Bell MT" w:eastAsia="Calibri" w:hAnsi="Bell MT"/>
                <w:b/>
                <w:bCs/>
                <w:sz w:val="20"/>
                <w:szCs w:val="20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Nome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 w:rsidRPr="000A089C">
              <w:rPr>
                <w:rFonts w:ascii="Bell MT" w:eastAsia="Calibri" w:hAnsi="Bell MT"/>
                <w:b/>
                <w:lang w:eastAsia="en-US"/>
              </w:rPr>
              <w:t>Idade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86380B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Contacto (Telefone ou</w:t>
            </w:r>
            <w:r w:rsidR="000A089C" w:rsidRPr="000A089C">
              <w:rPr>
                <w:rFonts w:ascii="Bell MT" w:eastAsia="Calibri" w:hAnsi="Bell MT"/>
                <w:b/>
                <w:lang w:eastAsia="en-US"/>
              </w:rPr>
              <w:t xml:space="preserve"> telemóvel)</w:t>
            </w:r>
            <w:r w:rsidR="000A089C"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</w:t>
            </w:r>
            <w:r>
              <w:rPr>
                <w:rFonts w:ascii="Bell MT" w:eastAsia="Calibri" w:hAnsi="Bell MT"/>
                <w:lang w:eastAsia="en-US"/>
              </w:rPr>
              <w:t>________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 w:rsidRPr="000A089C">
              <w:rPr>
                <w:rFonts w:ascii="Bell MT" w:eastAsia="Calibri" w:hAnsi="Bell MT"/>
                <w:b/>
                <w:lang w:eastAsia="en-US"/>
              </w:rPr>
              <w:t>E-mail</w:t>
            </w:r>
            <w:r w:rsidRPr="000A089C"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0A089C" w:rsidRPr="000A089C" w:rsidRDefault="000A089C" w:rsidP="000A089C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0A089C" w:rsidRPr="0086380B" w:rsidRDefault="000A089C" w:rsidP="000A089C">
            <w:pPr>
              <w:jc w:val="right"/>
              <w:rPr>
                <w:rFonts w:ascii="Bell MT" w:eastAsia="Calibri" w:hAnsi="Bell MT"/>
                <w:color w:val="auto"/>
              </w:rPr>
            </w:pPr>
            <w:r w:rsidRPr="0086380B">
              <w:rPr>
                <w:rFonts w:ascii="Bell MT" w:eastAsia="Calibri" w:hAnsi="Bell MT"/>
                <w:b/>
                <w:color w:val="auto"/>
              </w:rPr>
              <w:t xml:space="preserve">Data 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e hora </w:t>
            </w:r>
            <w:r w:rsidRPr="0086380B">
              <w:rPr>
                <w:rFonts w:ascii="Bell MT" w:eastAsia="Calibri" w:hAnsi="Bell MT"/>
                <w:b/>
                <w:color w:val="auto"/>
              </w:rPr>
              <w:t>de entrega</w:t>
            </w:r>
            <w:r w:rsidR="00593CCA" w:rsidRPr="0086380B">
              <w:rPr>
                <w:rFonts w:ascii="Bell MT" w:eastAsia="Calibri" w:hAnsi="Bell MT"/>
                <w:b/>
                <w:color w:val="auto"/>
              </w:rPr>
              <w:t xml:space="preserve"> da inscrição</w:t>
            </w:r>
            <w:r w:rsidR="00593CCA" w:rsidRPr="0086380B">
              <w:rPr>
                <w:rFonts w:ascii="Bell MT" w:eastAsia="Calibri" w:hAnsi="Bell MT"/>
                <w:color w:val="auto"/>
              </w:rPr>
              <w:t xml:space="preserve"> _________________________________</w:t>
            </w:r>
          </w:p>
          <w:p w:rsidR="00593CCA" w:rsidRPr="000A089C" w:rsidRDefault="008B55FA" w:rsidP="000A089C">
            <w:pPr>
              <w:jc w:val="right"/>
              <w:rPr>
                <w:rFonts w:ascii="Bell MT" w:eastAsia="Calibri" w:hAnsi="Bell MT"/>
                <w:sz w:val="20"/>
                <w:szCs w:val="20"/>
              </w:rPr>
            </w:pPr>
            <w:r>
              <w:rPr>
                <w:rFonts w:ascii="Bell MT" w:eastAsia="Calibri" w:hAnsi="Bell MT"/>
                <w:sz w:val="20"/>
                <w:szCs w:val="20"/>
              </w:rPr>
              <w:t>(a preencher pelos serviços da BPARLSR)</w:t>
            </w:r>
          </w:p>
        </w:tc>
      </w:tr>
    </w:tbl>
    <w:p w:rsidR="000A089C" w:rsidRPr="00F5300D" w:rsidRDefault="000A089C" w:rsidP="00312A97">
      <w:pPr>
        <w:spacing w:after="200" w:line="276" w:lineRule="auto"/>
        <w:jc w:val="both"/>
      </w:pPr>
    </w:p>
    <w:sectPr w:rsidR="000A089C" w:rsidRPr="00F5300D" w:rsidSect="00446EB7">
      <w:headerReference w:type="default" r:id="rId9"/>
      <w:footerReference w:type="default" r:id="rId10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13" w:rsidRDefault="00F87613" w:rsidP="002D2483">
      <w:r>
        <w:separator/>
      </w:r>
    </w:p>
  </w:endnote>
  <w:endnote w:type="continuationSeparator" w:id="0">
    <w:p w:rsidR="00F87613" w:rsidRDefault="00F87613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13" w:rsidRDefault="00F87613" w:rsidP="002D2483">
      <w:r>
        <w:separator/>
      </w:r>
    </w:p>
  </w:footnote>
  <w:footnote w:type="continuationSeparator" w:id="0">
    <w:p w:rsidR="00F87613" w:rsidRDefault="00F87613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97"/>
    <w:rsid w:val="000047C9"/>
    <w:rsid w:val="00006BF3"/>
    <w:rsid w:val="000603C1"/>
    <w:rsid w:val="000841D3"/>
    <w:rsid w:val="000A089C"/>
    <w:rsid w:val="000C1B6C"/>
    <w:rsid w:val="000D6570"/>
    <w:rsid w:val="000D7572"/>
    <w:rsid w:val="001910D8"/>
    <w:rsid w:val="001E18C2"/>
    <w:rsid w:val="002362E1"/>
    <w:rsid w:val="00246DF5"/>
    <w:rsid w:val="00252C42"/>
    <w:rsid w:val="002D2483"/>
    <w:rsid w:val="002E71E2"/>
    <w:rsid w:val="002F1835"/>
    <w:rsid w:val="00312A97"/>
    <w:rsid w:val="0034064D"/>
    <w:rsid w:val="00376DCC"/>
    <w:rsid w:val="003A585B"/>
    <w:rsid w:val="00446EB7"/>
    <w:rsid w:val="00472D20"/>
    <w:rsid w:val="00493FEA"/>
    <w:rsid w:val="004A6392"/>
    <w:rsid w:val="004B224E"/>
    <w:rsid w:val="004B6BB1"/>
    <w:rsid w:val="00515F64"/>
    <w:rsid w:val="0054379F"/>
    <w:rsid w:val="00593CCA"/>
    <w:rsid w:val="00597D0C"/>
    <w:rsid w:val="00605942"/>
    <w:rsid w:val="006079CF"/>
    <w:rsid w:val="00687285"/>
    <w:rsid w:val="00695DAF"/>
    <w:rsid w:val="006C5ED6"/>
    <w:rsid w:val="006E0C0A"/>
    <w:rsid w:val="006F7DF2"/>
    <w:rsid w:val="00700EC7"/>
    <w:rsid w:val="00704F6F"/>
    <w:rsid w:val="00733C06"/>
    <w:rsid w:val="007A2E1D"/>
    <w:rsid w:val="007D328D"/>
    <w:rsid w:val="007D7755"/>
    <w:rsid w:val="008477E6"/>
    <w:rsid w:val="0086380B"/>
    <w:rsid w:val="00871FC2"/>
    <w:rsid w:val="008B55FA"/>
    <w:rsid w:val="009132F0"/>
    <w:rsid w:val="009276C5"/>
    <w:rsid w:val="00971B24"/>
    <w:rsid w:val="00994095"/>
    <w:rsid w:val="009A3311"/>
    <w:rsid w:val="009F547A"/>
    <w:rsid w:val="009F7D19"/>
    <w:rsid w:val="00A20172"/>
    <w:rsid w:val="00A36508"/>
    <w:rsid w:val="00A5055F"/>
    <w:rsid w:val="00A62703"/>
    <w:rsid w:val="00AC2A51"/>
    <w:rsid w:val="00B25705"/>
    <w:rsid w:val="00B9076D"/>
    <w:rsid w:val="00BA3538"/>
    <w:rsid w:val="00BF59DE"/>
    <w:rsid w:val="00C06DFE"/>
    <w:rsid w:val="00C20B4E"/>
    <w:rsid w:val="00C61EBA"/>
    <w:rsid w:val="00CB72F6"/>
    <w:rsid w:val="00CD43C9"/>
    <w:rsid w:val="00CD6810"/>
    <w:rsid w:val="00CE670D"/>
    <w:rsid w:val="00D61AB6"/>
    <w:rsid w:val="00D9093C"/>
    <w:rsid w:val="00DA7C21"/>
    <w:rsid w:val="00DD773B"/>
    <w:rsid w:val="00DE28E9"/>
    <w:rsid w:val="00DF01EE"/>
    <w:rsid w:val="00E06062"/>
    <w:rsid w:val="00E12AF0"/>
    <w:rsid w:val="00E13456"/>
    <w:rsid w:val="00E13D96"/>
    <w:rsid w:val="00E40D74"/>
    <w:rsid w:val="00E85E37"/>
    <w:rsid w:val="00EA2F85"/>
    <w:rsid w:val="00ED7703"/>
    <w:rsid w:val="00F25A3F"/>
    <w:rsid w:val="00F5300D"/>
    <w:rsid w:val="00F54621"/>
    <w:rsid w:val="00F833C5"/>
    <w:rsid w:val="00F87613"/>
    <w:rsid w:val="00F91039"/>
    <w:rsid w:val="00FA03F1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3ED719"/>
  <w15:docId w15:val="{110D99EA-D48A-4D49-8838-072738F6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089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089C"/>
    <w:rPr>
      <w:rFonts w:ascii="Tahoma" w:hAnsi="Tahoma" w:cs="Tahoma"/>
      <w:color w:val="000000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0A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e.MM.Alexandre@azores.gov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icha%20de%20inscri&#231;&#227;o%20Workshop%20de%20pin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9DB9-E0C3-4AC8-9348-3CBA5F8469E2}">
  <ds:schemaRefs/>
</ds:datastoreItem>
</file>

<file path=customXml/itemProps2.xml><?xml version="1.0" encoding="utf-8"?>
<ds:datastoreItem xmlns:ds="http://schemas.openxmlformats.org/officeDocument/2006/customXml" ds:itemID="{28417B2A-4BDA-4854-8925-F21FC3F3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 Workshop de pintura</Template>
  <TotalTime>36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C. Viveiros</dc:creator>
  <cp:lastModifiedBy>Filipa AMM. Tavares</cp:lastModifiedBy>
  <cp:revision>11</cp:revision>
  <cp:lastPrinted>2016-11-21T20:03:00Z</cp:lastPrinted>
  <dcterms:created xsi:type="dcterms:W3CDTF">2019-01-22T11:38:00Z</dcterms:created>
  <dcterms:modified xsi:type="dcterms:W3CDTF">2019-04-26T15:54:00Z</dcterms:modified>
</cp:coreProperties>
</file>